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FE" w:rsidRDefault="00F757FE">
      <w:bookmarkStart w:id="0" w:name="page1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7B67F1EE" wp14:editId="5DB921D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2311400"/>
            <wp:effectExtent l="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7FE" w:rsidRDefault="00F757FE"/>
    <w:p w:rsidR="00F757FE" w:rsidRDefault="00F757FE"/>
    <w:p w:rsidR="00F757FE" w:rsidRDefault="00F757FE"/>
    <w:p w:rsidR="00F757FE" w:rsidRDefault="00F757FE"/>
    <w:p w:rsidR="00F757FE" w:rsidRDefault="00F757FE"/>
    <w:p w:rsidR="00F757FE" w:rsidRDefault="00F757FE"/>
    <w:p w:rsidR="00A65B5A" w:rsidRDefault="00A65B5A" w:rsidP="00A65B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5B5A" w:rsidRDefault="00A65B5A" w:rsidP="00A65B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0ED" w:rsidRDefault="00FA60ED" w:rsidP="00A65B5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B5A" w:rsidRDefault="00A65B5A" w:rsidP="00A65B5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5B5A">
        <w:rPr>
          <w:rFonts w:ascii="Times New Roman" w:hAnsi="Times New Roman" w:cs="Times New Roman"/>
          <w:b/>
          <w:sz w:val="52"/>
          <w:szCs w:val="52"/>
        </w:rPr>
        <w:t xml:space="preserve">Примеры заданий, </w:t>
      </w:r>
    </w:p>
    <w:p w:rsidR="00A65B5A" w:rsidRDefault="00A65B5A" w:rsidP="00A65B5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5B5A">
        <w:rPr>
          <w:rFonts w:ascii="Times New Roman" w:hAnsi="Times New Roman" w:cs="Times New Roman"/>
          <w:b/>
          <w:sz w:val="52"/>
          <w:szCs w:val="52"/>
        </w:rPr>
        <w:t>входящих в состав оценочных средств, используемых Центром оценки квалификаций при проведении профессионального экзамена</w:t>
      </w:r>
    </w:p>
    <w:p w:rsidR="00A65B5A" w:rsidRPr="00A65B5A" w:rsidRDefault="00A65B5A" w:rsidP="00A65B5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65B5A" w:rsidRPr="00FF26E6" w:rsidRDefault="00A65B5A" w:rsidP="00A65B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6E6">
        <w:rPr>
          <w:rFonts w:ascii="Times New Roman" w:hAnsi="Times New Roman" w:cs="Times New Roman"/>
          <w:b/>
          <w:sz w:val="36"/>
          <w:szCs w:val="36"/>
        </w:rPr>
        <w:t>Профессиональный стандарт: «</w:t>
      </w:r>
      <w:r w:rsidR="00FF26E6" w:rsidRPr="00FF26E6">
        <w:rPr>
          <w:rFonts w:ascii="Times New Roman" w:eastAsia="Times New Roman" w:hAnsi="Times New Roman" w:cs="Times New Roman"/>
          <w:b/>
          <w:sz w:val="36"/>
          <w:szCs w:val="36"/>
        </w:rPr>
        <w:t>Специалист по управлению рисками</w:t>
      </w:r>
      <w:r w:rsidR="00BC24D2" w:rsidRPr="00FF26E6">
        <w:rPr>
          <w:rFonts w:ascii="Times New Roman" w:hAnsi="Times New Roman" w:cs="Times New Roman"/>
          <w:b/>
          <w:sz w:val="36"/>
          <w:szCs w:val="36"/>
        </w:rPr>
        <w:t>»</w:t>
      </w:r>
      <w:r w:rsidRPr="00FF26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65B5A" w:rsidRPr="00FF26E6" w:rsidRDefault="00A65B5A" w:rsidP="00A65B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6E6">
        <w:rPr>
          <w:rFonts w:ascii="Times New Roman" w:hAnsi="Times New Roman" w:cs="Times New Roman"/>
          <w:b/>
          <w:sz w:val="36"/>
          <w:szCs w:val="36"/>
        </w:rPr>
        <w:t>Уровень квалификации –</w:t>
      </w:r>
      <w:r w:rsidR="00BC24D2" w:rsidRPr="00FF26E6">
        <w:rPr>
          <w:rFonts w:ascii="Times New Roman" w:hAnsi="Times New Roman" w:cs="Times New Roman"/>
          <w:b/>
          <w:sz w:val="36"/>
          <w:szCs w:val="36"/>
        </w:rPr>
        <w:t xml:space="preserve"> 6</w:t>
      </w:r>
    </w:p>
    <w:p w:rsidR="00A65B5A" w:rsidRPr="00A65B5A" w:rsidRDefault="00A65B5A"/>
    <w:p w:rsidR="00F757FE" w:rsidRDefault="00F757FE"/>
    <w:p w:rsidR="00A65B5A" w:rsidRDefault="00A65B5A" w:rsidP="00A65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5A" w:rsidRDefault="00A65B5A" w:rsidP="00A65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5A" w:rsidRDefault="00A65B5A" w:rsidP="00A65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5A" w:rsidRDefault="00A65B5A" w:rsidP="00A65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5A" w:rsidRPr="00A65B5A" w:rsidRDefault="00A65B5A" w:rsidP="00A65B5A">
      <w:pPr>
        <w:spacing w:line="276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A65B5A">
        <w:rPr>
          <w:rFonts w:ascii="Times New Roman" w:eastAsia="Times New Roman" w:hAnsi="Times New Roman" w:cs="Times New Roman"/>
          <w:sz w:val="24"/>
          <w:szCs w:val="24"/>
        </w:rPr>
        <w:t>Москва, 2017</w:t>
      </w:r>
    </w:p>
    <w:p w:rsidR="00A65B5A" w:rsidRDefault="00A65B5A" w:rsidP="00A65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5A" w:rsidRDefault="00A65B5A" w:rsidP="00A65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4EF" w:rsidRDefault="009F34EF" w:rsidP="009F34EF">
      <w:pPr>
        <w:pStyle w:val="a3"/>
        <w:numPr>
          <w:ilvl w:val="0"/>
          <w:numId w:val="5"/>
        </w:numPr>
        <w:tabs>
          <w:tab w:val="left" w:pos="4180"/>
        </w:tabs>
        <w:spacing w:after="0" w:line="276" w:lineRule="auto"/>
        <w:jc w:val="center"/>
        <w:rPr>
          <w:rStyle w:val="a8"/>
          <w:rFonts w:ascii="Times New Roman" w:hAnsi="Times New Roman" w:cs="Times New Roman"/>
          <w:sz w:val="32"/>
          <w:szCs w:val="32"/>
        </w:rPr>
      </w:pPr>
      <w:r w:rsidRPr="009F34EF">
        <w:rPr>
          <w:rStyle w:val="a8"/>
          <w:rFonts w:ascii="Times New Roman" w:hAnsi="Times New Roman" w:cs="Times New Roman"/>
          <w:sz w:val="32"/>
          <w:szCs w:val="32"/>
        </w:rPr>
        <w:t>ОБЩИЕ ПОЛОЖЕНИЯ</w:t>
      </w:r>
    </w:p>
    <w:p w:rsidR="009F34EF" w:rsidRPr="009F34EF" w:rsidRDefault="009F34EF" w:rsidP="009F34EF">
      <w:pPr>
        <w:pStyle w:val="a3"/>
        <w:tabs>
          <w:tab w:val="left" w:pos="4180"/>
        </w:tabs>
        <w:spacing w:after="0" w:line="276" w:lineRule="auto"/>
        <w:ind w:left="450"/>
        <w:rPr>
          <w:rStyle w:val="a8"/>
          <w:rFonts w:ascii="Times New Roman" w:hAnsi="Times New Roman" w:cs="Times New Roman"/>
          <w:sz w:val="32"/>
          <w:szCs w:val="32"/>
        </w:rPr>
      </w:pPr>
    </w:p>
    <w:p w:rsidR="00A65B5A" w:rsidRPr="002C0036" w:rsidRDefault="00A65B5A" w:rsidP="009F34EF">
      <w:pPr>
        <w:pStyle w:val="a3"/>
        <w:numPr>
          <w:ilvl w:val="1"/>
          <w:numId w:val="5"/>
        </w:numPr>
        <w:spacing w:after="0" w:line="276" w:lineRule="auto"/>
        <w:ind w:left="0" w:right="1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B5A">
        <w:rPr>
          <w:rFonts w:ascii="Times New Roman" w:hAnsi="Times New Roman" w:cs="Times New Roman"/>
          <w:sz w:val="28"/>
          <w:szCs w:val="28"/>
        </w:rPr>
        <w:t>Настоящие примеры заданий, входящих в состав оценочных средств, используемых Центром оценки квалификаций при проведении профессионального экзамена</w:t>
      </w:r>
      <w:r w:rsidR="00A85C58">
        <w:rPr>
          <w:rFonts w:ascii="Times New Roman" w:hAnsi="Times New Roman" w:cs="Times New Roman"/>
          <w:sz w:val="28"/>
          <w:szCs w:val="28"/>
        </w:rPr>
        <w:t>,</w:t>
      </w:r>
      <w:r w:rsidR="009F34EF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требованиями Приказа Минтруда России от 19 декабря 2016 г. № 759н «Об утверждении </w:t>
      </w:r>
      <w:r w:rsidR="009F34EF" w:rsidRPr="002C0036">
        <w:rPr>
          <w:rFonts w:ascii="Times New Roman" w:hAnsi="Times New Roman" w:cs="Times New Roman"/>
          <w:sz w:val="28"/>
          <w:szCs w:val="28"/>
        </w:rPr>
        <w:t>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</w:t>
      </w:r>
      <w:r w:rsidR="00A85C58" w:rsidRPr="002C0036">
        <w:rPr>
          <w:rFonts w:ascii="Times New Roman" w:hAnsi="Times New Roman" w:cs="Times New Roman"/>
          <w:sz w:val="28"/>
          <w:szCs w:val="28"/>
        </w:rPr>
        <w:t xml:space="preserve"> (далее – примеры заданий)</w:t>
      </w:r>
      <w:r w:rsidR="009F34EF" w:rsidRPr="002C0036">
        <w:rPr>
          <w:rFonts w:ascii="Times New Roman" w:hAnsi="Times New Roman" w:cs="Times New Roman"/>
          <w:sz w:val="28"/>
          <w:szCs w:val="28"/>
        </w:rPr>
        <w:t>.</w:t>
      </w:r>
    </w:p>
    <w:p w:rsidR="00A65B5A" w:rsidRPr="00657FD0" w:rsidRDefault="00A85C58" w:rsidP="00A85C58">
      <w:pPr>
        <w:pStyle w:val="a3"/>
        <w:numPr>
          <w:ilvl w:val="1"/>
          <w:numId w:val="5"/>
        </w:numPr>
        <w:spacing w:after="0" w:line="276" w:lineRule="auto"/>
        <w:ind w:left="0" w:right="1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036">
        <w:rPr>
          <w:rFonts w:ascii="Times New Roman" w:hAnsi="Times New Roman" w:cs="Times New Roman"/>
          <w:sz w:val="28"/>
          <w:szCs w:val="28"/>
        </w:rPr>
        <w:t>Примеры задани</w:t>
      </w:r>
      <w:r w:rsidR="002C0036">
        <w:rPr>
          <w:rFonts w:ascii="Times New Roman" w:hAnsi="Times New Roman" w:cs="Times New Roman"/>
          <w:sz w:val="28"/>
          <w:szCs w:val="28"/>
        </w:rPr>
        <w:t>й</w:t>
      </w:r>
      <w:r w:rsidRPr="002C0036">
        <w:rPr>
          <w:rFonts w:ascii="Times New Roman" w:hAnsi="Times New Roman" w:cs="Times New Roman"/>
          <w:sz w:val="28"/>
          <w:szCs w:val="28"/>
        </w:rPr>
        <w:t xml:space="preserve"> </w:t>
      </w:r>
      <w:r w:rsidR="001E5397">
        <w:rPr>
          <w:rFonts w:ascii="Times New Roman" w:hAnsi="Times New Roman" w:cs="Times New Roman"/>
          <w:sz w:val="28"/>
          <w:szCs w:val="28"/>
        </w:rPr>
        <w:t xml:space="preserve">сформированы с учетом действующего законодательства Российской Федерации, </w:t>
      </w:r>
      <w:r w:rsidRPr="002C0036">
        <w:rPr>
          <w:rFonts w:ascii="Times New Roman" w:hAnsi="Times New Roman" w:cs="Times New Roman"/>
          <w:sz w:val="28"/>
          <w:szCs w:val="28"/>
        </w:rPr>
        <w:t>учитывают</w:t>
      </w:r>
      <w:r w:rsidR="00812838" w:rsidRPr="002C0036">
        <w:rPr>
          <w:rFonts w:ascii="Times New Roman" w:hAnsi="Times New Roman" w:cs="Times New Roman"/>
          <w:sz w:val="28"/>
          <w:szCs w:val="28"/>
        </w:rPr>
        <w:t xml:space="preserve"> </w:t>
      </w:r>
      <w:r w:rsidRPr="002C0036">
        <w:rPr>
          <w:rFonts w:ascii="Times New Roman" w:hAnsi="Times New Roman" w:cs="Times New Roman"/>
          <w:color w:val="111111"/>
          <w:sz w:val="28"/>
          <w:szCs w:val="28"/>
        </w:rPr>
        <w:t xml:space="preserve">Международные основы профессиональной практики </w:t>
      </w:r>
      <w:r w:rsidR="00812838" w:rsidRPr="002C0036">
        <w:rPr>
          <w:rFonts w:ascii="Times New Roman" w:hAnsi="Times New Roman" w:cs="Times New Roman"/>
          <w:color w:val="111111"/>
          <w:sz w:val="28"/>
          <w:szCs w:val="28"/>
        </w:rPr>
        <w:t>и передовую практику в области</w:t>
      </w:r>
      <w:r w:rsidR="00FF26E6">
        <w:rPr>
          <w:rFonts w:ascii="Times New Roman" w:hAnsi="Times New Roman" w:cs="Times New Roman"/>
          <w:color w:val="111111"/>
          <w:sz w:val="28"/>
          <w:szCs w:val="28"/>
        </w:rPr>
        <w:t xml:space="preserve"> управления рисками</w:t>
      </w:r>
      <w:r w:rsidR="00812838" w:rsidRPr="002C003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57FD0" w:rsidRPr="00657FD0" w:rsidRDefault="00657FD0" w:rsidP="00657FD0">
      <w:pPr>
        <w:spacing w:after="0" w:line="276" w:lineRule="auto"/>
        <w:ind w:left="851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F757FE" w:rsidRDefault="00F757FE">
      <w:pPr>
        <w:rPr>
          <w:noProof/>
          <w:lang w:eastAsia="ru-RU"/>
        </w:rPr>
      </w:pPr>
    </w:p>
    <w:p w:rsidR="0046125C" w:rsidRDefault="001E5397" w:rsidP="00FD13A2">
      <w:pPr>
        <w:pStyle w:val="a3"/>
        <w:numPr>
          <w:ilvl w:val="0"/>
          <w:numId w:val="5"/>
        </w:numPr>
        <w:tabs>
          <w:tab w:val="left" w:pos="4180"/>
        </w:tabs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ПРИМЕРЫ ЗАДАНИЙ НА </w:t>
      </w:r>
      <w:r w:rsidR="00FD13A2" w:rsidRPr="00FD13A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ПРОВЕРК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У</w:t>
      </w:r>
      <w:r w:rsidR="00FD13A2" w:rsidRPr="00FD13A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ТЕОРЕТИЧЕСКИХ ЗНАНИЙ В ПРЕДЕЛАХ КВАЛИФИКАЦИОННЫХ ТРЕБОВАНИЙ</w:t>
      </w:r>
    </w:p>
    <w:p w:rsidR="001E5397" w:rsidRDefault="001E5397" w:rsidP="001E5397">
      <w:pPr>
        <w:tabs>
          <w:tab w:val="left" w:pos="4180"/>
        </w:tabs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E62F9" w:rsidRPr="00871D8C" w:rsidRDefault="005F6209" w:rsidP="008E62F9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D8C">
        <w:rPr>
          <w:rFonts w:ascii="Times New Roman" w:hAnsi="Times New Roman" w:cs="Times New Roman"/>
          <w:b/>
          <w:sz w:val="28"/>
          <w:szCs w:val="28"/>
        </w:rPr>
        <w:t>В соответствии с основными принципами профессиональной практики внутреннего аудита, внутренний аудитор:</w:t>
      </w:r>
    </w:p>
    <w:p w:rsidR="005F6209" w:rsidRPr="005F6209" w:rsidRDefault="005F6209" w:rsidP="00245775">
      <w:pPr>
        <w:pStyle w:val="a3"/>
        <w:numPr>
          <w:ilvl w:val="0"/>
          <w:numId w:val="10"/>
        </w:numPr>
        <w:shd w:val="clear" w:color="auto" w:fill="FFFF00"/>
        <w:spacing w:line="276" w:lineRule="auto"/>
        <w:ind w:left="1418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Является образцом честности;</w:t>
      </w:r>
    </w:p>
    <w:p w:rsidR="005F6209" w:rsidRPr="005F6209" w:rsidRDefault="005F6209" w:rsidP="00245775">
      <w:pPr>
        <w:pStyle w:val="a3"/>
        <w:numPr>
          <w:ilvl w:val="0"/>
          <w:numId w:val="10"/>
        </w:numPr>
        <w:shd w:val="clear" w:color="auto" w:fill="FFFF00"/>
        <w:spacing w:line="276" w:lineRule="auto"/>
        <w:ind w:left="1418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color w:val="000000"/>
          <w:sz w:val="28"/>
          <w:szCs w:val="28"/>
        </w:rPr>
        <w:t>Проницателен, рассматривает вопросы в перспективе и нацелен на будущее.</w:t>
      </w:r>
      <w:r w:rsidRPr="005F62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6209" w:rsidRPr="005F6209" w:rsidRDefault="005F6209" w:rsidP="00245775">
      <w:pPr>
        <w:pStyle w:val="a3"/>
        <w:numPr>
          <w:ilvl w:val="0"/>
          <w:numId w:val="10"/>
        </w:numPr>
        <w:shd w:val="clear" w:color="auto" w:fill="FFFFFF" w:themeFill="background1"/>
        <w:spacing w:line="276" w:lineRule="auto"/>
        <w:ind w:left="1418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Является гарантом для менеджмента, высшего исполнительного руководства организации и Совета;</w:t>
      </w:r>
    </w:p>
    <w:p w:rsidR="005F6209" w:rsidRPr="005F6209" w:rsidRDefault="005F6209" w:rsidP="00245775">
      <w:pPr>
        <w:pStyle w:val="a3"/>
        <w:numPr>
          <w:ilvl w:val="0"/>
          <w:numId w:val="10"/>
        </w:numPr>
        <w:shd w:val="clear" w:color="auto" w:fill="FFFFFF" w:themeFill="background1"/>
        <w:spacing w:line="276" w:lineRule="auto"/>
        <w:ind w:left="1418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Принципиален, последовательно следует принятым политикам и стандартам внутреннего аудита.</w:t>
      </w:r>
    </w:p>
    <w:p w:rsidR="005F6209" w:rsidRPr="005F6209" w:rsidRDefault="005F6209" w:rsidP="005F6209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Что из вышеизложенного является верным:</w:t>
      </w:r>
    </w:p>
    <w:p w:rsidR="005F6209" w:rsidRPr="005F6209" w:rsidRDefault="005F6209" w:rsidP="005F6209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6209">
        <w:rPr>
          <w:rFonts w:ascii="Times New Roman" w:hAnsi="Times New Roman" w:cs="Times New Roman"/>
          <w:sz w:val="28"/>
          <w:szCs w:val="28"/>
        </w:rPr>
        <w:t xml:space="preserve"> и </w:t>
      </w:r>
      <w:r w:rsidRPr="005F6209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5F6209" w:rsidRPr="005F6209" w:rsidRDefault="005F6209" w:rsidP="005F6209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6209">
        <w:rPr>
          <w:rFonts w:ascii="Times New Roman" w:hAnsi="Times New Roman" w:cs="Times New Roman"/>
          <w:sz w:val="28"/>
          <w:szCs w:val="28"/>
        </w:rPr>
        <w:t xml:space="preserve"> и </w:t>
      </w:r>
      <w:r w:rsidRPr="005F6209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5F6209" w:rsidRPr="005F6209" w:rsidRDefault="005F6209" w:rsidP="005F6209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209">
        <w:rPr>
          <w:rFonts w:ascii="Times New Roman" w:hAnsi="Times New Roman" w:cs="Times New Roman"/>
          <w:sz w:val="28"/>
          <w:szCs w:val="28"/>
        </w:rPr>
        <w:t xml:space="preserve"> и </w:t>
      </w:r>
      <w:r w:rsidRPr="005F620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F6209" w:rsidRPr="005F6209" w:rsidRDefault="005F6209" w:rsidP="005F6209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 xml:space="preserve">II и </w:t>
      </w:r>
      <w:r w:rsidRPr="005F620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5F6209" w:rsidRPr="005F6209" w:rsidRDefault="005F6209" w:rsidP="005F6209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lastRenderedPageBreak/>
        <w:t>https://na.theiia.org/standards-guidance/mandatory-guidance/Pages/Core-Principles-for-the-Professional-Practice-of-Internal-Auditing.aspx</w:t>
      </w:r>
    </w:p>
    <w:p w:rsidR="005F6209" w:rsidRPr="005F6209" w:rsidRDefault="005F6209" w:rsidP="005F6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97" w:rsidRPr="008E62F9" w:rsidRDefault="001E5397" w:rsidP="00245775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F9">
        <w:rPr>
          <w:rFonts w:ascii="Times New Roman" w:hAnsi="Times New Roman" w:cs="Times New Roman"/>
          <w:b/>
          <w:sz w:val="28"/>
          <w:szCs w:val="28"/>
        </w:rPr>
        <w:t>В Положении о внутреннем аудите должны быть отражены:</w:t>
      </w:r>
    </w:p>
    <w:p w:rsidR="001E5397" w:rsidRPr="005F6209" w:rsidRDefault="001E5397" w:rsidP="007537FC">
      <w:pPr>
        <w:pStyle w:val="a3"/>
        <w:numPr>
          <w:ilvl w:val="0"/>
          <w:numId w:val="11"/>
        </w:numPr>
        <w:shd w:val="clear" w:color="auto" w:fill="FFFF00"/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Программы и планы проверки деятельности организации, в которой осуществляется внутренний аудит;</w:t>
      </w:r>
    </w:p>
    <w:p w:rsidR="001E5397" w:rsidRPr="005F6209" w:rsidRDefault="001E5397" w:rsidP="004B5CC3">
      <w:pPr>
        <w:pStyle w:val="a3"/>
        <w:numPr>
          <w:ilvl w:val="0"/>
          <w:numId w:val="11"/>
        </w:numPr>
        <w:shd w:val="clear" w:color="auto" w:fill="FFFFFF" w:themeFill="background1"/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 xml:space="preserve">Стратегические цели деятельности организации, </w:t>
      </w:r>
      <w:r w:rsidR="00EA290A" w:rsidRPr="005F6209">
        <w:rPr>
          <w:rFonts w:ascii="Times New Roman" w:hAnsi="Times New Roman" w:cs="Times New Roman"/>
          <w:sz w:val="28"/>
          <w:szCs w:val="28"/>
        </w:rPr>
        <w:t>в которой осуществляется внутренний аудит</w:t>
      </w:r>
      <w:r w:rsidRPr="005F6209">
        <w:rPr>
          <w:rFonts w:ascii="Times New Roman" w:hAnsi="Times New Roman" w:cs="Times New Roman"/>
          <w:sz w:val="28"/>
          <w:szCs w:val="28"/>
        </w:rPr>
        <w:t>;</w:t>
      </w:r>
    </w:p>
    <w:p w:rsidR="001E5397" w:rsidRPr="005F6209" w:rsidRDefault="001E5397" w:rsidP="004B5CC3">
      <w:pPr>
        <w:pStyle w:val="a3"/>
        <w:numPr>
          <w:ilvl w:val="0"/>
          <w:numId w:val="11"/>
        </w:numPr>
        <w:shd w:val="clear" w:color="auto" w:fill="FFFFFF" w:themeFill="background1"/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  <w:highlight w:val="yellow"/>
        </w:rPr>
        <w:t>Цели, полномочия и ответственность внутреннего аудита;</w:t>
      </w:r>
    </w:p>
    <w:p w:rsidR="001E5397" w:rsidRPr="005F6209" w:rsidRDefault="001E5397" w:rsidP="004B5CC3">
      <w:pPr>
        <w:pStyle w:val="a3"/>
        <w:numPr>
          <w:ilvl w:val="0"/>
          <w:numId w:val="11"/>
        </w:numPr>
        <w:shd w:val="clear" w:color="auto" w:fill="FFFFFF" w:themeFill="background1"/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Основные риски организации, в которой осуществляется внутренний аудит.</w:t>
      </w:r>
    </w:p>
    <w:p w:rsidR="001E5397" w:rsidRPr="005F6209" w:rsidRDefault="001E5397" w:rsidP="005F62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97" w:rsidRPr="008E62F9" w:rsidRDefault="001E5397" w:rsidP="002564AC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F9">
        <w:rPr>
          <w:rFonts w:ascii="Times New Roman" w:hAnsi="Times New Roman" w:cs="Times New Roman"/>
          <w:b/>
          <w:sz w:val="28"/>
          <w:szCs w:val="28"/>
        </w:rPr>
        <w:t>Угрозы независимости и объективности подразделения внутреннего аудитора должны контролироваться:</w:t>
      </w:r>
    </w:p>
    <w:p w:rsidR="001E5397" w:rsidRPr="0030063F" w:rsidRDefault="001E5397" w:rsidP="0030063F">
      <w:pPr>
        <w:pStyle w:val="a3"/>
        <w:numPr>
          <w:ilvl w:val="0"/>
          <w:numId w:val="12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63F">
        <w:rPr>
          <w:rFonts w:ascii="Times New Roman" w:hAnsi="Times New Roman" w:cs="Times New Roman"/>
          <w:sz w:val="28"/>
          <w:szCs w:val="28"/>
        </w:rPr>
        <w:t xml:space="preserve">На уровне единоличного исполнительного органа организации; </w:t>
      </w:r>
    </w:p>
    <w:p w:rsidR="001E5397" w:rsidRPr="005F6209" w:rsidRDefault="001E5397" w:rsidP="0030063F">
      <w:pPr>
        <w:pStyle w:val="a3"/>
        <w:numPr>
          <w:ilvl w:val="0"/>
          <w:numId w:val="12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  <w:highlight w:val="yellow"/>
        </w:rPr>
        <w:t>На уровне индивидуального аудитора, аудиторского задания, функциональном и организационном уровнях;</w:t>
      </w:r>
    </w:p>
    <w:p w:rsidR="001E5397" w:rsidRPr="005F6209" w:rsidRDefault="001E5397" w:rsidP="0030063F">
      <w:pPr>
        <w:pStyle w:val="a3"/>
        <w:numPr>
          <w:ilvl w:val="0"/>
          <w:numId w:val="12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На уровне руководителя подразделения внутреннего аудита;</w:t>
      </w:r>
    </w:p>
    <w:p w:rsidR="001E5397" w:rsidRDefault="001E5397" w:rsidP="0030063F">
      <w:pPr>
        <w:pStyle w:val="a3"/>
        <w:numPr>
          <w:ilvl w:val="0"/>
          <w:numId w:val="12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На уровне внешнего аудитора.</w:t>
      </w:r>
    </w:p>
    <w:p w:rsidR="0030063F" w:rsidRPr="0030063F" w:rsidRDefault="0030063F" w:rsidP="003006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97" w:rsidRPr="008E62F9" w:rsidRDefault="001E5397" w:rsidP="0030063F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F9">
        <w:rPr>
          <w:rFonts w:ascii="Times New Roman" w:hAnsi="Times New Roman" w:cs="Times New Roman"/>
          <w:b/>
          <w:sz w:val="28"/>
          <w:szCs w:val="28"/>
        </w:rPr>
        <w:t>Руководство организации полагает, что те критерии оценки корпоративного управления, управления рисками и процедур контроля, которые использовал внутренний аудитор, были интерпретированы им неверно либо некорректно. Указанные критерии оценки установлены в локальных нормативных правовых актах организации, при этом внутренний аудитор на основании профессионального мнения и полученных доказательств полагает, что руководством (менеджментом и/или Советом) критерии установлены не совсем адекватно для оценки достижения целей и выполнения задач. В таких случаях внутренние аудиторы должны:</w:t>
      </w:r>
    </w:p>
    <w:p w:rsidR="001E5397" w:rsidRPr="0030063F" w:rsidRDefault="001E5397" w:rsidP="0030063F">
      <w:pPr>
        <w:pStyle w:val="a3"/>
        <w:numPr>
          <w:ilvl w:val="0"/>
          <w:numId w:val="13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63F">
        <w:rPr>
          <w:rFonts w:ascii="Times New Roman" w:hAnsi="Times New Roman" w:cs="Times New Roman"/>
          <w:sz w:val="28"/>
          <w:szCs w:val="28"/>
        </w:rPr>
        <w:t>Дополнительно проверить, что описание в локальных нормативных правовых актах критериев оценки корпоративного управления, управления рисками и процедур контроля соответствует отраслевой практике;</w:t>
      </w:r>
    </w:p>
    <w:p w:rsidR="001E5397" w:rsidRPr="005F6209" w:rsidRDefault="001E5397" w:rsidP="0030063F">
      <w:pPr>
        <w:pStyle w:val="a3"/>
        <w:numPr>
          <w:ilvl w:val="0"/>
          <w:numId w:val="13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 xml:space="preserve">Провести дополнительные аудиторские процедуры и получить дополнительные доказательства, что толкование внутренним аудитором имеющихся критериев оценки корпоративного </w:t>
      </w:r>
      <w:r w:rsidRPr="005F6209">
        <w:rPr>
          <w:rFonts w:ascii="Times New Roman" w:hAnsi="Times New Roman" w:cs="Times New Roman"/>
          <w:sz w:val="28"/>
          <w:szCs w:val="28"/>
        </w:rPr>
        <w:lastRenderedPageBreak/>
        <w:t>управления, управления рисками и процедур контроля, обосновано;</w:t>
      </w:r>
    </w:p>
    <w:p w:rsidR="001E5397" w:rsidRPr="005F6209" w:rsidRDefault="001E5397" w:rsidP="0030063F">
      <w:pPr>
        <w:pStyle w:val="a3"/>
        <w:numPr>
          <w:ilvl w:val="0"/>
          <w:numId w:val="13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Сформировать самостоятельно на основе профессионального суждения адекватные критерии оценки;</w:t>
      </w:r>
    </w:p>
    <w:p w:rsidR="001E5397" w:rsidRPr="005F6209" w:rsidRDefault="001E5397" w:rsidP="0030063F">
      <w:pPr>
        <w:pStyle w:val="a3"/>
        <w:numPr>
          <w:ilvl w:val="0"/>
          <w:numId w:val="13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  <w:highlight w:val="yellow"/>
        </w:rPr>
        <w:t>По согласованию с менеджментом и/или Советом определить надлежащие критерии оценки.</w:t>
      </w:r>
    </w:p>
    <w:p w:rsidR="001E5397" w:rsidRPr="005F6209" w:rsidRDefault="001E5397" w:rsidP="005F6209">
      <w:pPr>
        <w:tabs>
          <w:tab w:val="left" w:pos="41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02" w:rsidRPr="008E62F9" w:rsidRDefault="00BE0F02" w:rsidP="00383062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F9">
        <w:rPr>
          <w:rFonts w:ascii="Times New Roman" w:hAnsi="Times New Roman" w:cs="Times New Roman"/>
          <w:b/>
          <w:sz w:val="28"/>
          <w:szCs w:val="28"/>
        </w:rPr>
        <w:t>С целью повышения эффективности деятельности внутренние аудиторы могут полагаться на результаты работы внешних аудиторов, в случае если их работа:</w:t>
      </w:r>
    </w:p>
    <w:p w:rsidR="00BE0F02" w:rsidRPr="00383062" w:rsidRDefault="00BE0F02" w:rsidP="00383062">
      <w:pPr>
        <w:pStyle w:val="a3"/>
        <w:numPr>
          <w:ilvl w:val="0"/>
          <w:numId w:val="14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3062">
        <w:rPr>
          <w:rFonts w:ascii="Times New Roman" w:hAnsi="Times New Roman" w:cs="Times New Roman"/>
          <w:sz w:val="28"/>
          <w:szCs w:val="28"/>
        </w:rPr>
        <w:t>Выполнялась в соответствии с Кодексом Этики;</w:t>
      </w:r>
    </w:p>
    <w:p w:rsidR="00BE0F02" w:rsidRPr="005F6209" w:rsidRDefault="00BE0F02" w:rsidP="00383062">
      <w:pPr>
        <w:pStyle w:val="a3"/>
        <w:numPr>
          <w:ilvl w:val="0"/>
          <w:numId w:val="14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Выполнялась после работы внутренних аудиторов;</w:t>
      </w:r>
    </w:p>
    <w:p w:rsidR="00BE0F02" w:rsidRPr="005F6209" w:rsidRDefault="00BE0F02" w:rsidP="00383062">
      <w:pPr>
        <w:pStyle w:val="a3"/>
        <w:numPr>
          <w:ilvl w:val="0"/>
          <w:numId w:val="14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  <w:highlight w:val="yellow"/>
        </w:rPr>
        <w:t>Координировалась с деятельностью внутренних аудиторов;</w:t>
      </w:r>
    </w:p>
    <w:p w:rsidR="00BE0F02" w:rsidRPr="005F6209" w:rsidRDefault="00BE0F02" w:rsidP="00383062">
      <w:pPr>
        <w:pStyle w:val="a3"/>
        <w:numPr>
          <w:ilvl w:val="0"/>
          <w:numId w:val="14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Выполнялась в соответствии с указаниями руководства организации.</w:t>
      </w:r>
    </w:p>
    <w:p w:rsidR="005F6209" w:rsidRPr="005F6209" w:rsidRDefault="005F6209" w:rsidP="005F62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09" w:rsidRPr="008E62F9" w:rsidRDefault="005F6209" w:rsidP="00B1661B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F9">
        <w:rPr>
          <w:rFonts w:ascii="Times New Roman" w:hAnsi="Times New Roman" w:cs="Times New Roman"/>
          <w:b/>
          <w:sz w:val="28"/>
          <w:szCs w:val="28"/>
        </w:rPr>
        <w:t>План выполнения каждого аудиторского задания, который должны составлять и документировать внутренний аудитор, должен учитывать:</w:t>
      </w:r>
    </w:p>
    <w:p w:rsidR="005F6209" w:rsidRPr="00B1661B" w:rsidRDefault="005F6209" w:rsidP="00B1661B">
      <w:pPr>
        <w:pStyle w:val="a3"/>
        <w:numPr>
          <w:ilvl w:val="0"/>
          <w:numId w:val="15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661B">
        <w:rPr>
          <w:rFonts w:ascii="Times New Roman" w:hAnsi="Times New Roman" w:cs="Times New Roman"/>
          <w:sz w:val="28"/>
          <w:szCs w:val="28"/>
        </w:rPr>
        <w:t>Цели, объем задания, его сроки и распределение ресурсов;</w:t>
      </w:r>
    </w:p>
    <w:p w:rsidR="005F6209" w:rsidRPr="005F6209" w:rsidRDefault="005F6209" w:rsidP="00B1661B">
      <w:pPr>
        <w:pStyle w:val="a3"/>
        <w:numPr>
          <w:ilvl w:val="0"/>
          <w:numId w:val="15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Цели, объем задания, его сроки и распределение ресурсов, а также стратегию организации;</w:t>
      </w:r>
    </w:p>
    <w:p w:rsidR="005F6209" w:rsidRPr="005F6209" w:rsidRDefault="005F6209" w:rsidP="00B1661B">
      <w:pPr>
        <w:pStyle w:val="a3"/>
        <w:numPr>
          <w:ilvl w:val="0"/>
          <w:numId w:val="15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Цели, объем задания, его сроки и распределение ресурсов, а также стратегию и задачи организации;</w:t>
      </w:r>
    </w:p>
    <w:p w:rsidR="005F6209" w:rsidRPr="005F6209" w:rsidRDefault="005F6209" w:rsidP="00B1661B">
      <w:pPr>
        <w:pStyle w:val="a3"/>
        <w:numPr>
          <w:ilvl w:val="0"/>
          <w:numId w:val="15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  <w:highlight w:val="yellow"/>
        </w:rPr>
        <w:t>Цели, объем задания, его сроки и распределение ресурсов, а также стратегию, задачи организации и риски, присущие заданию.</w:t>
      </w:r>
      <w:r w:rsidRPr="005F6209">
        <w:rPr>
          <w:rFonts w:ascii="Times New Roman" w:hAnsi="Times New Roman" w:cs="Times New Roman"/>
          <w:sz w:val="28"/>
          <w:szCs w:val="28"/>
        </w:rPr>
        <w:t xml:space="preserve"> </w:t>
      </w:r>
      <w:r w:rsidRPr="005F6209">
        <w:rPr>
          <w:rFonts w:ascii="Times New Roman" w:hAnsi="Times New Roman" w:cs="Times New Roman"/>
          <w:b/>
          <w:bCs/>
          <w:sz w:val="28"/>
          <w:szCs w:val="28"/>
        </w:rPr>
        <w:t>2200</w:t>
      </w:r>
    </w:p>
    <w:p w:rsidR="005F6209" w:rsidRPr="005F6209" w:rsidRDefault="005F6209" w:rsidP="005F62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09" w:rsidRPr="008E62F9" w:rsidRDefault="005F6209" w:rsidP="00B136C1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F9">
        <w:rPr>
          <w:rFonts w:ascii="Times New Roman" w:hAnsi="Times New Roman" w:cs="Times New Roman"/>
          <w:b/>
          <w:sz w:val="28"/>
          <w:szCs w:val="28"/>
        </w:rPr>
        <w:t>Программа аудиторского задания:</w:t>
      </w:r>
    </w:p>
    <w:p w:rsidR="005F6209" w:rsidRPr="00B136C1" w:rsidRDefault="005F6209" w:rsidP="00B136C1">
      <w:pPr>
        <w:pStyle w:val="a3"/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6C1">
        <w:rPr>
          <w:rFonts w:ascii="Times New Roman" w:hAnsi="Times New Roman" w:cs="Times New Roman"/>
          <w:sz w:val="28"/>
          <w:szCs w:val="28"/>
        </w:rPr>
        <w:t xml:space="preserve">Должна быть утверждена менеджментом и/или Советом организации; </w:t>
      </w:r>
    </w:p>
    <w:p w:rsidR="005F6209" w:rsidRPr="005F6209" w:rsidRDefault="005F6209" w:rsidP="00B136C1">
      <w:pPr>
        <w:pStyle w:val="a3"/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Должна быть утверждена совместно с принятыми изменениями по итогам завершения аудиторской проверки;</w:t>
      </w:r>
    </w:p>
    <w:p w:rsidR="005F6209" w:rsidRPr="005F6209" w:rsidRDefault="005F6209" w:rsidP="00B136C1">
      <w:pPr>
        <w:pStyle w:val="a3"/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  <w:highlight w:val="yellow"/>
        </w:rPr>
        <w:t>Должна быть утверждена до начала выполнения</w:t>
      </w:r>
      <w:r w:rsidR="00BD254F">
        <w:rPr>
          <w:rFonts w:ascii="Times New Roman" w:hAnsi="Times New Roman" w:cs="Times New Roman"/>
          <w:sz w:val="28"/>
          <w:szCs w:val="28"/>
          <w:highlight w:val="yellow"/>
        </w:rPr>
        <w:t xml:space="preserve"> указанной программы</w:t>
      </w:r>
      <w:r w:rsidRPr="005F6209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5F6209" w:rsidRPr="005F6209" w:rsidRDefault="005F6209" w:rsidP="00B136C1">
      <w:pPr>
        <w:pStyle w:val="a3"/>
        <w:numPr>
          <w:ilvl w:val="0"/>
          <w:numId w:val="16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>Должна быть утверждена до начала очередного календарного года.</w:t>
      </w:r>
    </w:p>
    <w:p w:rsidR="005F6209" w:rsidRPr="005F6209" w:rsidRDefault="005F6209" w:rsidP="005F62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09" w:rsidRPr="008E62F9" w:rsidRDefault="005F6209" w:rsidP="002157E5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F9">
        <w:rPr>
          <w:rFonts w:ascii="Times New Roman" w:hAnsi="Times New Roman" w:cs="Times New Roman"/>
          <w:b/>
          <w:sz w:val="28"/>
          <w:szCs w:val="28"/>
        </w:rPr>
        <w:lastRenderedPageBreak/>
        <w:t>Внутренний аудитор должен собрать, проанализировать, оценить и оформить документально информацию в объеме:</w:t>
      </w:r>
    </w:p>
    <w:p w:rsidR="005F6209" w:rsidRPr="002157E5" w:rsidRDefault="005F6209" w:rsidP="002157E5">
      <w:pPr>
        <w:pStyle w:val="a3"/>
        <w:numPr>
          <w:ilvl w:val="0"/>
          <w:numId w:val="17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57E5">
        <w:rPr>
          <w:rFonts w:ascii="Times New Roman" w:hAnsi="Times New Roman" w:cs="Times New Roman"/>
          <w:sz w:val="28"/>
          <w:szCs w:val="28"/>
        </w:rPr>
        <w:t>Необходимом для предоставления руководству (менеджменту и/или Совету) организации;</w:t>
      </w:r>
    </w:p>
    <w:p w:rsidR="005F6209" w:rsidRPr="005F6209" w:rsidRDefault="005F6209" w:rsidP="002157E5">
      <w:pPr>
        <w:pStyle w:val="a3"/>
        <w:numPr>
          <w:ilvl w:val="0"/>
          <w:numId w:val="17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 xml:space="preserve">Достаточном, для выполнения принятых стандартов деятельности; </w:t>
      </w:r>
    </w:p>
    <w:p w:rsidR="005F6209" w:rsidRPr="005F6209" w:rsidRDefault="005F6209" w:rsidP="002157E5">
      <w:pPr>
        <w:pStyle w:val="a3"/>
        <w:numPr>
          <w:ilvl w:val="0"/>
          <w:numId w:val="17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  <w:highlight w:val="yellow"/>
        </w:rPr>
        <w:t>Достаточном, для достижения целей задания;</w:t>
      </w:r>
      <w:r w:rsidRPr="005F6209">
        <w:rPr>
          <w:rFonts w:ascii="Times New Roman" w:hAnsi="Times New Roman" w:cs="Times New Roman"/>
          <w:sz w:val="28"/>
          <w:szCs w:val="28"/>
        </w:rPr>
        <w:t xml:space="preserve"> 2300</w:t>
      </w:r>
    </w:p>
    <w:p w:rsidR="005F6209" w:rsidRPr="005F6209" w:rsidRDefault="005F6209" w:rsidP="002157E5">
      <w:pPr>
        <w:pStyle w:val="a3"/>
        <w:numPr>
          <w:ilvl w:val="0"/>
          <w:numId w:val="17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209">
        <w:rPr>
          <w:rFonts w:ascii="Times New Roman" w:hAnsi="Times New Roman" w:cs="Times New Roman"/>
          <w:sz w:val="28"/>
          <w:szCs w:val="28"/>
        </w:rPr>
        <w:t xml:space="preserve">Необходимом для формирования заключения об отсутствии значимых рисков. </w:t>
      </w:r>
    </w:p>
    <w:p w:rsidR="005F6209" w:rsidRPr="005F6209" w:rsidRDefault="005F6209" w:rsidP="005F62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09" w:rsidRPr="008E62F9" w:rsidRDefault="005F6209" w:rsidP="004720DD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F9">
        <w:rPr>
          <w:rFonts w:ascii="Times New Roman" w:hAnsi="Times New Roman" w:cs="Times New Roman"/>
          <w:b/>
          <w:sz w:val="28"/>
          <w:szCs w:val="28"/>
        </w:rPr>
        <w:t>Итоговое заключение, подготовленное по результатам выполнения аудиторского задания, должно учитывать:</w:t>
      </w:r>
    </w:p>
    <w:p w:rsidR="005F6209" w:rsidRPr="003372F2" w:rsidRDefault="005F6209" w:rsidP="004720DD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F2">
        <w:rPr>
          <w:rFonts w:ascii="Times New Roman" w:hAnsi="Times New Roman" w:cs="Times New Roman"/>
          <w:sz w:val="28"/>
          <w:szCs w:val="28"/>
        </w:rPr>
        <w:t xml:space="preserve">Ожидания высшего исполнительного руководства и Совета организации; </w:t>
      </w:r>
    </w:p>
    <w:p w:rsidR="005F6209" w:rsidRPr="003372F2" w:rsidRDefault="005F6209" w:rsidP="004720DD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F2">
        <w:rPr>
          <w:rFonts w:ascii="Times New Roman" w:hAnsi="Times New Roman" w:cs="Times New Roman"/>
          <w:sz w:val="28"/>
          <w:szCs w:val="28"/>
        </w:rPr>
        <w:t>Стратегию, задачи и риски организации, ожидания высшего исполнительного руководства и Совета;</w:t>
      </w:r>
    </w:p>
    <w:p w:rsidR="005F6209" w:rsidRPr="003372F2" w:rsidRDefault="005F6209" w:rsidP="004720DD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F2">
        <w:rPr>
          <w:rFonts w:ascii="Times New Roman" w:hAnsi="Times New Roman" w:cs="Times New Roman"/>
          <w:sz w:val="28"/>
          <w:szCs w:val="28"/>
        </w:rPr>
        <w:t>Стратегию, задачи и риски организации,</w:t>
      </w:r>
    </w:p>
    <w:p w:rsidR="005F6209" w:rsidRPr="003372F2" w:rsidRDefault="005F6209" w:rsidP="004720DD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F2">
        <w:rPr>
          <w:rFonts w:ascii="Times New Roman" w:hAnsi="Times New Roman" w:cs="Times New Roman"/>
          <w:sz w:val="28"/>
          <w:szCs w:val="28"/>
          <w:highlight w:val="yellow"/>
        </w:rPr>
        <w:t>Стратегию, задачи и риски организации, ожидания высшего исполнительного руководства, Совета и других заинтересованных сторон.</w:t>
      </w:r>
      <w:r w:rsidRPr="003372F2">
        <w:rPr>
          <w:rFonts w:ascii="Times New Roman" w:hAnsi="Times New Roman" w:cs="Times New Roman"/>
          <w:sz w:val="28"/>
          <w:szCs w:val="28"/>
        </w:rPr>
        <w:t xml:space="preserve"> </w:t>
      </w:r>
      <w:r w:rsidRPr="003372F2">
        <w:rPr>
          <w:rFonts w:ascii="Times New Roman" w:hAnsi="Times New Roman" w:cs="Times New Roman"/>
          <w:b/>
          <w:bCs/>
          <w:sz w:val="28"/>
          <w:szCs w:val="28"/>
        </w:rPr>
        <w:t>2450</w:t>
      </w:r>
    </w:p>
    <w:p w:rsidR="005F6209" w:rsidRPr="003372F2" w:rsidRDefault="005F6209" w:rsidP="005F62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2F2" w:rsidRPr="008E62F9" w:rsidRDefault="003372F2" w:rsidP="003372F2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F9">
        <w:rPr>
          <w:rFonts w:ascii="Times New Roman" w:hAnsi="Times New Roman" w:cs="Times New Roman"/>
          <w:b/>
          <w:sz w:val="28"/>
          <w:szCs w:val="28"/>
        </w:rPr>
        <w:t>Кто несет общую ответственность за контроль над выполнением аудиторского задания:</w:t>
      </w:r>
    </w:p>
    <w:p w:rsidR="003372F2" w:rsidRPr="003372F2" w:rsidRDefault="003372F2" w:rsidP="003372F2">
      <w:pPr>
        <w:pStyle w:val="a3"/>
        <w:numPr>
          <w:ilvl w:val="0"/>
          <w:numId w:val="19"/>
        </w:numPr>
        <w:spacing w:line="276" w:lineRule="auto"/>
        <w:ind w:hanging="306"/>
        <w:rPr>
          <w:rFonts w:ascii="Times New Roman" w:hAnsi="Times New Roman" w:cs="Times New Roman"/>
          <w:sz w:val="28"/>
          <w:szCs w:val="28"/>
        </w:rPr>
      </w:pPr>
      <w:r w:rsidRPr="003372F2">
        <w:rPr>
          <w:rFonts w:ascii="Times New Roman" w:hAnsi="Times New Roman" w:cs="Times New Roman"/>
          <w:sz w:val="28"/>
          <w:szCs w:val="28"/>
        </w:rPr>
        <w:t>Внутренний аудитор, выполняющий аудиторское задание;</w:t>
      </w:r>
    </w:p>
    <w:p w:rsidR="003372F2" w:rsidRPr="003372F2" w:rsidRDefault="003372F2" w:rsidP="003372F2">
      <w:pPr>
        <w:pStyle w:val="a3"/>
        <w:numPr>
          <w:ilvl w:val="0"/>
          <w:numId w:val="19"/>
        </w:numPr>
        <w:spacing w:line="276" w:lineRule="auto"/>
        <w:ind w:hanging="306"/>
        <w:rPr>
          <w:rFonts w:ascii="Times New Roman" w:hAnsi="Times New Roman" w:cs="Times New Roman"/>
          <w:sz w:val="28"/>
          <w:szCs w:val="28"/>
        </w:rPr>
      </w:pPr>
      <w:r w:rsidRPr="003372F2">
        <w:rPr>
          <w:rFonts w:ascii="Times New Roman" w:hAnsi="Times New Roman" w:cs="Times New Roman"/>
          <w:sz w:val="28"/>
          <w:szCs w:val="28"/>
        </w:rPr>
        <w:t>Единоличный исполнительный орган (руководитель) организации;</w:t>
      </w:r>
    </w:p>
    <w:p w:rsidR="003372F2" w:rsidRPr="003372F2" w:rsidRDefault="003372F2" w:rsidP="003372F2">
      <w:pPr>
        <w:pStyle w:val="a3"/>
        <w:numPr>
          <w:ilvl w:val="0"/>
          <w:numId w:val="19"/>
        </w:numPr>
        <w:spacing w:line="276" w:lineRule="auto"/>
        <w:ind w:hanging="306"/>
        <w:rPr>
          <w:rFonts w:ascii="Times New Roman" w:hAnsi="Times New Roman" w:cs="Times New Roman"/>
          <w:sz w:val="28"/>
          <w:szCs w:val="28"/>
        </w:rPr>
      </w:pPr>
      <w:r w:rsidRPr="003372F2">
        <w:rPr>
          <w:rFonts w:ascii="Times New Roman" w:hAnsi="Times New Roman" w:cs="Times New Roman"/>
          <w:sz w:val="28"/>
          <w:szCs w:val="28"/>
        </w:rPr>
        <w:t>Коллегиальный орган управления (Совет) организации;</w:t>
      </w:r>
    </w:p>
    <w:p w:rsidR="003372F2" w:rsidRPr="003372F2" w:rsidRDefault="003372F2" w:rsidP="003372F2">
      <w:pPr>
        <w:pStyle w:val="a3"/>
        <w:numPr>
          <w:ilvl w:val="0"/>
          <w:numId w:val="19"/>
        </w:numPr>
        <w:spacing w:line="276" w:lineRule="auto"/>
        <w:ind w:hanging="306"/>
        <w:rPr>
          <w:rFonts w:ascii="Times New Roman" w:hAnsi="Times New Roman" w:cs="Times New Roman"/>
          <w:sz w:val="28"/>
          <w:szCs w:val="28"/>
        </w:rPr>
      </w:pPr>
      <w:r w:rsidRPr="003372F2">
        <w:rPr>
          <w:rFonts w:ascii="Times New Roman" w:hAnsi="Times New Roman" w:cs="Times New Roman"/>
          <w:sz w:val="28"/>
          <w:szCs w:val="28"/>
        </w:rPr>
        <w:t>Р</w:t>
      </w:r>
      <w:r w:rsidRPr="003372F2">
        <w:rPr>
          <w:rFonts w:ascii="Times New Roman" w:hAnsi="Times New Roman" w:cs="Times New Roman"/>
          <w:sz w:val="28"/>
          <w:szCs w:val="28"/>
          <w:highlight w:val="yellow"/>
        </w:rPr>
        <w:t>уководитель внутреннего аудита</w:t>
      </w:r>
      <w:r w:rsidRPr="003372F2">
        <w:rPr>
          <w:rFonts w:ascii="Times New Roman" w:hAnsi="Times New Roman" w:cs="Times New Roman"/>
          <w:sz w:val="28"/>
          <w:szCs w:val="28"/>
        </w:rPr>
        <w:t xml:space="preserve"> </w:t>
      </w:r>
      <w:r w:rsidRPr="003372F2">
        <w:rPr>
          <w:rFonts w:ascii="Times New Roman" w:hAnsi="Times New Roman" w:cs="Times New Roman"/>
          <w:b/>
          <w:bCs/>
          <w:sz w:val="28"/>
          <w:szCs w:val="28"/>
        </w:rPr>
        <w:t>2340</w:t>
      </w:r>
    </w:p>
    <w:p w:rsidR="005F6209" w:rsidRPr="005A0787" w:rsidRDefault="005F6209" w:rsidP="00BE0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5397" w:rsidRDefault="001E5397" w:rsidP="001E5397">
      <w:pPr>
        <w:tabs>
          <w:tab w:val="left" w:pos="4180"/>
        </w:tabs>
        <w:spacing w:after="0" w:line="276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71D8C" w:rsidRDefault="00871D8C" w:rsidP="001E5397">
      <w:pPr>
        <w:tabs>
          <w:tab w:val="left" w:pos="4180"/>
        </w:tabs>
        <w:spacing w:after="0" w:line="276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71D8C" w:rsidRDefault="00871D8C" w:rsidP="001E5397">
      <w:pPr>
        <w:tabs>
          <w:tab w:val="left" w:pos="4180"/>
        </w:tabs>
        <w:spacing w:after="0" w:line="276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D13A2" w:rsidRPr="00FD13A2" w:rsidRDefault="001E5397" w:rsidP="00FD13A2">
      <w:pPr>
        <w:pStyle w:val="a3"/>
        <w:numPr>
          <w:ilvl w:val="0"/>
          <w:numId w:val="5"/>
        </w:numPr>
        <w:tabs>
          <w:tab w:val="left" w:pos="4180"/>
        </w:tabs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1" w:name="_Hlk482027021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ПРИМЕРЫ ЗАДАНИЙ </w:t>
      </w:r>
      <w:r w:rsidR="00FD13A2" w:rsidRPr="00FD13A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ПРАКТИЧЕСК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ОЙ</w:t>
      </w:r>
      <w:r w:rsidR="00FD13A2" w:rsidRPr="00FD13A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КВАЛИФИКАЦИОНН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ОЙ</w:t>
      </w:r>
      <w:r w:rsidR="00FD13A2" w:rsidRPr="00FD13A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РАБОТ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Ы</w:t>
      </w:r>
    </w:p>
    <w:bookmarkEnd w:id="1"/>
    <w:p w:rsidR="0046125C" w:rsidRDefault="0046125C">
      <w:pPr>
        <w:rPr>
          <w:noProof/>
          <w:lang w:eastAsia="ru-RU"/>
        </w:rPr>
      </w:pPr>
    </w:p>
    <w:p w:rsidR="00D7696B" w:rsidRDefault="007E7BB8" w:rsidP="00F0265F">
      <w:pPr>
        <w:pStyle w:val="a3"/>
        <w:numPr>
          <w:ilvl w:val="1"/>
          <w:numId w:val="5"/>
        </w:numPr>
        <w:spacing w:after="0" w:line="276" w:lineRule="auto"/>
        <w:ind w:left="0" w:right="10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82083411"/>
      <w:r w:rsidRPr="00074D59">
        <w:rPr>
          <w:rFonts w:ascii="Times New Roman" w:hAnsi="Times New Roman" w:cs="Times New Roman"/>
          <w:b/>
          <w:sz w:val="28"/>
          <w:szCs w:val="28"/>
          <w:u w:val="single"/>
        </w:rPr>
        <w:t>Трудовая функция</w:t>
      </w:r>
      <w:r w:rsidRPr="007E7BB8">
        <w:rPr>
          <w:rFonts w:ascii="Times New Roman" w:hAnsi="Times New Roman" w:cs="Times New Roman"/>
          <w:sz w:val="28"/>
          <w:szCs w:val="28"/>
        </w:rPr>
        <w:t>: А 01/6</w:t>
      </w:r>
      <w:r>
        <w:rPr>
          <w:rFonts w:ascii="Times New Roman" w:hAnsi="Times New Roman" w:cs="Times New Roman"/>
          <w:sz w:val="28"/>
          <w:szCs w:val="28"/>
        </w:rPr>
        <w:t xml:space="preserve"> «Проведение внутренней аудиторской проверки в составе группы»</w:t>
      </w:r>
    </w:p>
    <w:p w:rsidR="008E3EB8" w:rsidRPr="008E3EB8" w:rsidRDefault="008E3EB8" w:rsidP="008E3EB8">
      <w:pPr>
        <w:spacing w:after="0" w:line="276" w:lineRule="auto"/>
        <w:ind w:left="851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8E3EB8" w:rsidRPr="00074D59" w:rsidRDefault="008E3EB8" w:rsidP="008E3EB8">
      <w:pPr>
        <w:pStyle w:val="a3"/>
        <w:numPr>
          <w:ilvl w:val="1"/>
          <w:numId w:val="5"/>
        </w:numPr>
        <w:spacing w:after="0" w:line="276" w:lineRule="auto"/>
        <w:ind w:left="0" w:right="10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D59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Трудовое действие: </w:t>
      </w:r>
    </w:p>
    <w:p w:rsidR="008E3EB8" w:rsidRDefault="008E3EB8" w:rsidP="008E3EB8">
      <w:pPr>
        <w:pStyle w:val="a3"/>
        <w:numPr>
          <w:ilvl w:val="2"/>
          <w:numId w:val="5"/>
        </w:numPr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и оценка рисков объекта внутреннего аудита (бизнес-процесса, проекта, программы, подразделения);</w:t>
      </w:r>
    </w:p>
    <w:p w:rsidR="00D7696B" w:rsidRDefault="008E3EB8" w:rsidP="008E3EB8">
      <w:pPr>
        <w:pStyle w:val="a3"/>
        <w:numPr>
          <w:ilvl w:val="2"/>
          <w:numId w:val="5"/>
        </w:numPr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способов снижения рисков объекта внутреннего аудита (бизнес-процесса, проекта, программы, подразделения);</w:t>
      </w:r>
    </w:p>
    <w:p w:rsidR="008E3EB8" w:rsidRDefault="008E3EB8" w:rsidP="008E3EB8">
      <w:pPr>
        <w:pStyle w:val="a3"/>
        <w:numPr>
          <w:ilvl w:val="2"/>
          <w:numId w:val="5"/>
        </w:numPr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результатов выполнения процедур внутреннего аудита и предложений по способам снижения рисков объекта внутреннего аудита для подготовки отчета по результатам выполнения внутренней аудиторской проверки.</w:t>
      </w:r>
    </w:p>
    <w:p w:rsidR="008E3EB8" w:rsidRPr="008E3EB8" w:rsidRDefault="008E3EB8" w:rsidP="008E3EB8">
      <w:pPr>
        <w:spacing w:after="0" w:line="276" w:lineRule="auto"/>
        <w:ind w:left="1936"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F0265F" w:rsidRDefault="008E3EB8" w:rsidP="00F0265F">
      <w:pPr>
        <w:pStyle w:val="a3"/>
        <w:numPr>
          <w:ilvl w:val="1"/>
          <w:numId w:val="5"/>
        </w:numPr>
        <w:spacing w:after="0" w:line="276" w:lineRule="auto"/>
        <w:ind w:left="0" w:right="1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EB8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5F" w:rsidRPr="00B43560">
        <w:rPr>
          <w:rFonts w:ascii="Times New Roman" w:hAnsi="Times New Roman" w:cs="Times New Roman"/>
          <w:sz w:val="28"/>
          <w:szCs w:val="28"/>
        </w:rPr>
        <w:t>Организация осуществляет закупку товаров (работ, услуг) в соответствии с разработанными локальными</w:t>
      </w:r>
      <w:r w:rsidR="00F0265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подлежащими утверждению в течение </w:t>
      </w:r>
      <w:r w:rsidR="00871D8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0265F">
        <w:rPr>
          <w:rFonts w:ascii="Times New Roman" w:hAnsi="Times New Roman" w:cs="Times New Roman"/>
          <w:sz w:val="28"/>
          <w:szCs w:val="28"/>
        </w:rPr>
        <w:t xml:space="preserve">отчетного периода. </w:t>
      </w:r>
      <w:r w:rsidR="00F0265F" w:rsidRPr="00B43560">
        <w:rPr>
          <w:rFonts w:ascii="Times New Roman" w:hAnsi="Times New Roman" w:cs="Times New Roman"/>
          <w:sz w:val="28"/>
          <w:szCs w:val="28"/>
        </w:rPr>
        <w:t>Разработанным Положением о закупках организации определено, что способ закупки товаров (работ, услуг), а также начальные (максимальные) цены по каждой закупке утверждаются за</w:t>
      </w:r>
      <w:r w:rsidR="00F0265F">
        <w:rPr>
          <w:rFonts w:ascii="Times New Roman" w:hAnsi="Times New Roman" w:cs="Times New Roman"/>
          <w:sz w:val="28"/>
          <w:szCs w:val="28"/>
        </w:rPr>
        <w:t xml:space="preserve">купочной комиссией. Протоколы закупочной комиссии в соответствии с разработанным Положением о закупках оформляются по результатам закупочных процедур и подписывается председателем и секретарем закупочной комиссии. </w:t>
      </w:r>
      <w:r w:rsidR="00F0265F" w:rsidRPr="00B43560">
        <w:rPr>
          <w:rFonts w:ascii="Times New Roman" w:hAnsi="Times New Roman" w:cs="Times New Roman"/>
          <w:sz w:val="28"/>
          <w:szCs w:val="28"/>
        </w:rPr>
        <w:t>Закупочную комиссию возглавляет директор юридического департамента организации, который одновременно является учредителем ряда юридических лиц, осуществляющих поставки товаров (выполнени</w:t>
      </w:r>
      <w:r w:rsidR="00F0265F">
        <w:rPr>
          <w:rFonts w:ascii="Times New Roman" w:hAnsi="Times New Roman" w:cs="Times New Roman"/>
          <w:sz w:val="28"/>
          <w:szCs w:val="28"/>
        </w:rPr>
        <w:t>е</w:t>
      </w:r>
      <w:r w:rsidR="00F0265F" w:rsidRPr="00B43560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 w:rsidR="00F0265F">
        <w:rPr>
          <w:rFonts w:ascii="Times New Roman" w:hAnsi="Times New Roman" w:cs="Times New Roman"/>
          <w:sz w:val="28"/>
          <w:szCs w:val="28"/>
        </w:rPr>
        <w:t>е</w:t>
      </w:r>
      <w:r w:rsidR="00F0265F" w:rsidRPr="00B43560">
        <w:rPr>
          <w:rFonts w:ascii="Times New Roman" w:hAnsi="Times New Roman" w:cs="Times New Roman"/>
          <w:sz w:val="28"/>
          <w:szCs w:val="28"/>
        </w:rPr>
        <w:t xml:space="preserve"> услуг) для организации. </w:t>
      </w:r>
      <w:r w:rsidR="00F0265F">
        <w:rPr>
          <w:rFonts w:ascii="Times New Roman" w:hAnsi="Times New Roman" w:cs="Times New Roman"/>
          <w:sz w:val="28"/>
          <w:szCs w:val="28"/>
        </w:rPr>
        <w:t>Всего, указанными юридическими лицами</w:t>
      </w:r>
      <w:r w:rsidR="00F0265F" w:rsidRPr="0064069F">
        <w:rPr>
          <w:rFonts w:ascii="Times New Roman" w:hAnsi="Times New Roman" w:cs="Times New Roman"/>
          <w:sz w:val="28"/>
          <w:szCs w:val="28"/>
        </w:rPr>
        <w:t xml:space="preserve"> </w:t>
      </w:r>
      <w:r w:rsidR="00F0265F">
        <w:rPr>
          <w:rFonts w:ascii="Times New Roman" w:hAnsi="Times New Roman" w:cs="Times New Roman"/>
          <w:sz w:val="28"/>
          <w:szCs w:val="28"/>
        </w:rPr>
        <w:t xml:space="preserve">на условиях единственного поставщика (исполнителя, подрядчика) в адрес организации за отчетный период поставлено товаров (выполнено работ, оказано услуг) на сумму более 1 млрд рублей, что составляет более 70% от общего объема закупок, при этом на закупку товаров приходится – 0,2 млрд рублей, на выполнение строительно-монтажных работ в производственном помещении, арендованном организацией – 0,5 млрд рублей и на выполнение услуг по юридическому сопровождению деятельности организации  – 0,3 млрд руб. Секретарь закупочной комиссии является главным специалистом юридического департамента организации и прошел профессиональную переподготовку в сфере закупок.  </w:t>
      </w:r>
    </w:p>
    <w:bookmarkEnd w:id="2"/>
    <w:p w:rsidR="00563DD8" w:rsidRDefault="00563DD8" w:rsidP="00622689">
      <w:pPr>
        <w:spacing w:after="0" w:line="276" w:lineRule="auto"/>
        <w:ind w:right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B46" w:rsidRDefault="00622689" w:rsidP="00622689">
      <w:pPr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2E5B46">
        <w:rPr>
          <w:rFonts w:ascii="Times New Roman" w:hAnsi="Times New Roman" w:cs="Times New Roman"/>
          <w:b/>
          <w:sz w:val="28"/>
          <w:szCs w:val="28"/>
        </w:rPr>
        <w:t>Необходимо: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D8" w:rsidRDefault="00563DD8" w:rsidP="00622689">
      <w:pPr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622689" w:rsidRDefault="00622689" w:rsidP="00622689">
      <w:pPr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Идентифицировать и оценить риски объектов внутреннего аудита (организаци</w:t>
      </w:r>
      <w:r w:rsidR="002E5B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закупочн</w:t>
      </w:r>
      <w:r w:rsidR="002E5B4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E5B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как отдельного бизнес-процесса</w:t>
      </w:r>
      <w:r w:rsidR="00563DD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юридического департамента как отдельного подразделения</w:t>
      </w:r>
      <w:r w:rsidR="002E5B4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), а также предложить способы снижения указанных рисков.</w:t>
      </w:r>
    </w:p>
    <w:p w:rsidR="008E3EB8" w:rsidRDefault="008E3EB8" w:rsidP="00622689">
      <w:pPr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8E3EB8" w:rsidRPr="00B3333A" w:rsidRDefault="008E3EB8" w:rsidP="008E3EB8">
      <w:pPr>
        <w:pStyle w:val="a3"/>
        <w:numPr>
          <w:ilvl w:val="1"/>
          <w:numId w:val="5"/>
        </w:numPr>
        <w:spacing w:after="0" w:line="276" w:lineRule="auto"/>
        <w:ind w:left="0" w:right="10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3A">
        <w:rPr>
          <w:rFonts w:ascii="Times New Roman" w:hAnsi="Times New Roman" w:cs="Times New Roman"/>
          <w:b/>
          <w:sz w:val="28"/>
          <w:szCs w:val="28"/>
        </w:rPr>
        <w:t>Порядок выполнения</w:t>
      </w:r>
      <w:r>
        <w:rPr>
          <w:rFonts w:ascii="Times New Roman" w:hAnsi="Times New Roman" w:cs="Times New Roman"/>
          <w:b/>
          <w:sz w:val="28"/>
          <w:szCs w:val="28"/>
        </w:rPr>
        <w:t>, требования к оформлению и порядок защиты</w:t>
      </w:r>
      <w:r w:rsidRPr="00B3333A">
        <w:rPr>
          <w:rFonts w:ascii="Times New Roman" w:hAnsi="Times New Roman" w:cs="Times New Roman"/>
          <w:b/>
          <w:sz w:val="28"/>
          <w:szCs w:val="28"/>
        </w:rPr>
        <w:t>:</w:t>
      </w:r>
    </w:p>
    <w:p w:rsidR="00B3333A" w:rsidRDefault="00B3333A" w:rsidP="00622689">
      <w:pPr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8E3EB8" w:rsidRDefault="00B3333A" w:rsidP="008E3EB8">
      <w:pPr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563DD8">
        <w:rPr>
          <w:rFonts w:ascii="Times New Roman" w:hAnsi="Times New Roman" w:cs="Times New Roman"/>
          <w:sz w:val="28"/>
          <w:szCs w:val="28"/>
        </w:rPr>
        <w:t>Задание практической квалификационной работы выполняется соискателем</w:t>
      </w:r>
      <w:r w:rsidR="00324A05" w:rsidRPr="00563DD8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563DD8">
        <w:rPr>
          <w:rFonts w:ascii="Times New Roman" w:hAnsi="Times New Roman" w:cs="Times New Roman"/>
          <w:sz w:val="28"/>
          <w:szCs w:val="28"/>
        </w:rPr>
        <w:t xml:space="preserve">на </w:t>
      </w:r>
      <w:r w:rsidR="00324A05" w:rsidRPr="00563DD8">
        <w:rPr>
          <w:rFonts w:ascii="Times New Roman" w:hAnsi="Times New Roman" w:cs="Times New Roman"/>
          <w:sz w:val="28"/>
          <w:szCs w:val="28"/>
        </w:rPr>
        <w:t>русском языке, без помощи каких-либо лиц.</w:t>
      </w:r>
      <w:r w:rsidR="0016246C">
        <w:rPr>
          <w:rFonts w:ascii="Times New Roman" w:hAnsi="Times New Roman" w:cs="Times New Roman"/>
          <w:sz w:val="28"/>
          <w:szCs w:val="28"/>
        </w:rPr>
        <w:t xml:space="preserve"> Максимальное время выполнения задания составляет не более 90 минут.</w:t>
      </w:r>
      <w:r w:rsidR="00324A05" w:rsidRPr="00563DD8">
        <w:rPr>
          <w:rFonts w:ascii="Times New Roman" w:hAnsi="Times New Roman" w:cs="Times New Roman"/>
          <w:sz w:val="28"/>
          <w:szCs w:val="28"/>
        </w:rPr>
        <w:t xml:space="preserve"> Соискател</w:t>
      </w:r>
      <w:r w:rsidR="006F3D0C">
        <w:rPr>
          <w:rFonts w:ascii="Times New Roman" w:hAnsi="Times New Roman" w:cs="Times New Roman"/>
          <w:sz w:val="28"/>
          <w:szCs w:val="28"/>
        </w:rPr>
        <w:t xml:space="preserve">ь не вправе </w:t>
      </w:r>
      <w:r w:rsidR="00324A05" w:rsidRPr="00563DD8">
        <w:rPr>
          <w:rFonts w:ascii="Times New Roman" w:hAnsi="Times New Roman" w:cs="Times New Roman"/>
          <w:sz w:val="28"/>
          <w:szCs w:val="28"/>
        </w:rPr>
        <w:t xml:space="preserve">при выполнении задания пользоваться какими-либо нормативными правовыми актами, стандартами, политиками, периодической и справочной литературой, а также сделанными выписками из указанных источников, использовать правовые системы и доступ в </w:t>
      </w:r>
      <w:r w:rsidR="00563DD8" w:rsidRPr="00563DD8">
        <w:rPr>
          <w:rFonts w:ascii="Times New Roman" w:hAnsi="Times New Roman" w:cs="Times New Roman"/>
          <w:sz w:val="28"/>
          <w:szCs w:val="28"/>
        </w:rPr>
        <w:t>сеть «</w:t>
      </w:r>
      <w:r w:rsidR="00324A05" w:rsidRPr="00563DD8">
        <w:rPr>
          <w:rFonts w:ascii="Times New Roman" w:hAnsi="Times New Roman" w:cs="Times New Roman"/>
          <w:sz w:val="28"/>
          <w:szCs w:val="28"/>
        </w:rPr>
        <w:t>Интернет</w:t>
      </w:r>
      <w:r w:rsidR="00563DD8" w:rsidRPr="00563DD8">
        <w:rPr>
          <w:rFonts w:ascii="Times New Roman" w:hAnsi="Times New Roman" w:cs="Times New Roman"/>
          <w:sz w:val="28"/>
          <w:szCs w:val="28"/>
        </w:rPr>
        <w:t>»</w:t>
      </w:r>
      <w:r w:rsidR="00324A05" w:rsidRPr="00563DD8">
        <w:rPr>
          <w:rFonts w:ascii="Times New Roman" w:hAnsi="Times New Roman" w:cs="Times New Roman"/>
          <w:sz w:val="28"/>
          <w:szCs w:val="28"/>
        </w:rPr>
        <w:t xml:space="preserve">. </w:t>
      </w:r>
      <w:r w:rsidR="00324A05" w:rsidRPr="00563DD8">
        <w:rPr>
          <w:rFonts w:ascii="Times New Roman" w:hAnsi="Times New Roman"/>
          <w:sz w:val="28"/>
          <w:szCs w:val="28"/>
        </w:rPr>
        <w:t xml:space="preserve">Все личные вещи </w:t>
      </w:r>
      <w:r w:rsidR="006F3D0C">
        <w:rPr>
          <w:rFonts w:ascii="Times New Roman" w:hAnsi="Times New Roman"/>
          <w:sz w:val="28"/>
          <w:szCs w:val="28"/>
        </w:rPr>
        <w:t>соискателя</w:t>
      </w:r>
      <w:r w:rsidR="00324A05" w:rsidRPr="00563DD8">
        <w:rPr>
          <w:rFonts w:ascii="Times New Roman" w:hAnsi="Times New Roman"/>
          <w:sz w:val="28"/>
          <w:szCs w:val="28"/>
        </w:rPr>
        <w:t xml:space="preserve"> (сумки, рюкзаки, пакеты и пр.), в том числе мобильные телефоны и компьютеры, должны быть размещены в специально отведенном месте.</w:t>
      </w:r>
      <w:r w:rsidR="00D57905" w:rsidRPr="00563DD8">
        <w:rPr>
          <w:rFonts w:ascii="Times New Roman" w:hAnsi="Times New Roman"/>
          <w:sz w:val="28"/>
          <w:szCs w:val="28"/>
        </w:rPr>
        <w:t xml:space="preserve"> </w:t>
      </w:r>
      <w:r w:rsidR="008E3EB8" w:rsidRPr="006C6C85">
        <w:rPr>
          <w:rFonts w:ascii="Times New Roman" w:hAnsi="Times New Roman" w:cs="Times New Roman"/>
          <w:sz w:val="28"/>
          <w:szCs w:val="28"/>
        </w:rPr>
        <w:t>Защита результатов выполнения практической квалификационной работы осуществляется соискателем перед квалификационной комиссией лично.</w:t>
      </w:r>
    </w:p>
    <w:p w:rsidR="0016246C" w:rsidRDefault="0016246C" w:rsidP="008E3EB8">
      <w:pPr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16246C" w:rsidRDefault="0016246C" w:rsidP="008E3EB8">
      <w:pPr>
        <w:spacing w:after="0" w:line="276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563DD8" w:rsidRPr="00563DD8" w:rsidRDefault="00563DD8" w:rsidP="00563DD8">
      <w:pPr>
        <w:spacing w:after="0" w:line="276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563DD8" w:rsidRDefault="00563DD8" w:rsidP="00563DD8">
      <w:pPr>
        <w:spacing w:after="0" w:line="276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46125C" w:rsidRDefault="0046125C">
      <w:pPr>
        <w:rPr>
          <w:noProof/>
          <w:lang w:eastAsia="ru-RU"/>
        </w:rPr>
      </w:pPr>
      <w:bookmarkStart w:id="3" w:name="_GoBack"/>
      <w:bookmarkEnd w:id="3"/>
    </w:p>
    <w:sectPr w:rsidR="0046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A0" w:rsidRDefault="002757A0" w:rsidP="002201CF">
      <w:pPr>
        <w:spacing w:after="0" w:line="240" w:lineRule="auto"/>
      </w:pPr>
      <w:r>
        <w:separator/>
      </w:r>
    </w:p>
  </w:endnote>
  <w:endnote w:type="continuationSeparator" w:id="0">
    <w:p w:rsidR="002757A0" w:rsidRDefault="002757A0" w:rsidP="0022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A0" w:rsidRDefault="002757A0" w:rsidP="002201CF">
      <w:pPr>
        <w:spacing w:after="0" w:line="240" w:lineRule="auto"/>
      </w:pPr>
      <w:r>
        <w:separator/>
      </w:r>
    </w:p>
  </w:footnote>
  <w:footnote w:type="continuationSeparator" w:id="0">
    <w:p w:rsidR="002757A0" w:rsidRDefault="002757A0" w:rsidP="0022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26D"/>
    <w:multiLevelType w:val="hybridMultilevel"/>
    <w:tmpl w:val="51C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BA7"/>
    <w:multiLevelType w:val="hybridMultilevel"/>
    <w:tmpl w:val="A1BA01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A33"/>
    <w:multiLevelType w:val="hybridMultilevel"/>
    <w:tmpl w:val="510832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25A5"/>
    <w:multiLevelType w:val="hybridMultilevel"/>
    <w:tmpl w:val="DA1E31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5F733C"/>
    <w:multiLevelType w:val="hybridMultilevel"/>
    <w:tmpl w:val="324620A6"/>
    <w:lvl w:ilvl="0" w:tplc="AF10A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6289"/>
    <w:multiLevelType w:val="hybridMultilevel"/>
    <w:tmpl w:val="FFD2E9E0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221B0E75"/>
    <w:multiLevelType w:val="hybridMultilevel"/>
    <w:tmpl w:val="C316CC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3B35"/>
    <w:multiLevelType w:val="multilevel"/>
    <w:tmpl w:val="207467D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1418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65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2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95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92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88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21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184" w:hanging="1440"/>
      </w:pPr>
      <w:rPr>
        <w:rFonts w:eastAsia="Times New Roman" w:hint="default"/>
        <w:sz w:val="28"/>
      </w:rPr>
    </w:lvl>
  </w:abstractNum>
  <w:abstractNum w:abstractNumId="8" w15:restartNumberingAfterBreak="0">
    <w:nsid w:val="243C5A5A"/>
    <w:multiLevelType w:val="hybridMultilevel"/>
    <w:tmpl w:val="D024A826"/>
    <w:lvl w:ilvl="0" w:tplc="04190013">
      <w:start w:val="1"/>
      <w:numFmt w:val="upperRoman"/>
      <w:lvlText w:val="%1."/>
      <w:lvlJc w:val="righ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57AE"/>
    <w:multiLevelType w:val="multilevel"/>
    <w:tmpl w:val="207467D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1418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65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2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95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92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88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21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184" w:hanging="1440"/>
      </w:pPr>
      <w:rPr>
        <w:rFonts w:eastAsia="Times New Roman" w:hint="default"/>
        <w:sz w:val="28"/>
      </w:rPr>
    </w:lvl>
  </w:abstractNum>
  <w:abstractNum w:abstractNumId="10" w15:restartNumberingAfterBreak="0">
    <w:nsid w:val="2ECA2FA6"/>
    <w:multiLevelType w:val="hybridMultilevel"/>
    <w:tmpl w:val="51C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1473F"/>
    <w:multiLevelType w:val="hybridMultilevel"/>
    <w:tmpl w:val="F95848B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E2EC0"/>
    <w:multiLevelType w:val="hybridMultilevel"/>
    <w:tmpl w:val="65724C4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2B73D8"/>
    <w:multiLevelType w:val="hybridMultilevel"/>
    <w:tmpl w:val="117E95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E4E13"/>
    <w:multiLevelType w:val="hybridMultilevel"/>
    <w:tmpl w:val="DFEAC1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A4761"/>
    <w:multiLevelType w:val="hybridMultilevel"/>
    <w:tmpl w:val="37704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15E7A"/>
    <w:multiLevelType w:val="hybridMultilevel"/>
    <w:tmpl w:val="51C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A75FD"/>
    <w:multiLevelType w:val="hybridMultilevel"/>
    <w:tmpl w:val="51C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63E8"/>
    <w:multiLevelType w:val="hybridMultilevel"/>
    <w:tmpl w:val="51C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15E72"/>
    <w:multiLevelType w:val="hybridMultilevel"/>
    <w:tmpl w:val="38EE7D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1"/>
  </w:num>
  <w:num w:numId="5">
    <w:abstractNumId w:val="9"/>
  </w:num>
  <w:num w:numId="6">
    <w:abstractNumId w:val="17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9"/>
    <w:rsid w:val="0000305F"/>
    <w:rsid w:val="00013F3F"/>
    <w:rsid w:val="00017C18"/>
    <w:rsid w:val="00025E30"/>
    <w:rsid w:val="000504F9"/>
    <w:rsid w:val="0005160E"/>
    <w:rsid w:val="00056B21"/>
    <w:rsid w:val="0005775E"/>
    <w:rsid w:val="00081FB6"/>
    <w:rsid w:val="00092166"/>
    <w:rsid w:val="00093C73"/>
    <w:rsid w:val="000D6F36"/>
    <w:rsid w:val="00101B9D"/>
    <w:rsid w:val="00115D14"/>
    <w:rsid w:val="001306FF"/>
    <w:rsid w:val="0016246C"/>
    <w:rsid w:val="00185132"/>
    <w:rsid w:val="001949F2"/>
    <w:rsid w:val="001C277F"/>
    <w:rsid w:val="001E1495"/>
    <w:rsid w:val="001E5397"/>
    <w:rsid w:val="0020605D"/>
    <w:rsid w:val="00207F71"/>
    <w:rsid w:val="002157E5"/>
    <w:rsid w:val="002201CF"/>
    <w:rsid w:val="002364C7"/>
    <w:rsid w:val="00243CCB"/>
    <w:rsid w:val="00245775"/>
    <w:rsid w:val="002564AC"/>
    <w:rsid w:val="002606CE"/>
    <w:rsid w:val="00260F2A"/>
    <w:rsid w:val="00262744"/>
    <w:rsid w:val="002757A0"/>
    <w:rsid w:val="00296EE2"/>
    <w:rsid w:val="002A0763"/>
    <w:rsid w:val="002C0036"/>
    <w:rsid w:val="002C524C"/>
    <w:rsid w:val="002D0DDE"/>
    <w:rsid w:val="002E5B46"/>
    <w:rsid w:val="0030063F"/>
    <w:rsid w:val="00305AAA"/>
    <w:rsid w:val="00324A05"/>
    <w:rsid w:val="00332B3B"/>
    <w:rsid w:val="00336F67"/>
    <w:rsid w:val="003372F2"/>
    <w:rsid w:val="00346BC2"/>
    <w:rsid w:val="0035428F"/>
    <w:rsid w:val="00365FBD"/>
    <w:rsid w:val="0038150B"/>
    <w:rsid w:val="00383062"/>
    <w:rsid w:val="0039408A"/>
    <w:rsid w:val="003B1018"/>
    <w:rsid w:val="003B78B0"/>
    <w:rsid w:val="0040186A"/>
    <w:rsid w:val="00407094"/>
    <w:rsid w:val="00413960"/>
    <w:rsid w:val="004159BC"/>
    <w:rsid w:val="004420D8"/>
    <w:rsid w:val="004479D8"/>
    <w:rsid w:val="0046125C"/>
    <w:rsid w:val="00467885"/>
    <w:rsid w:val="004720DD"/>
    <w:rsid w:val="004A0ACB"/>
    <w:rsid w:val="004B5CC3"/>
    <w:rsid w:val="004C29F8"/>
    <w:rsid w:val="004E69D3"/>
    <w:rsid w:val="004F3B7C"/>
    <w:rsid w:val="00544260"/>
    <w:rsid w:val="00560586"/>
    <w:rsid w:val="00563DD8"/>
    <w:rsid w:val="00573F05"/>
    <w:rsid w:val="00583400"/>
    <w:rsid w:val="00586C3D"/>
    <w:rsid w:val="005901CE"/>
    <w:rsid w:val="005A0787"/>
    <w:rsid w:val="005A1255"/>
    <w:rsid w:val="005C10B1"/>
    <w:rsid w:val="005C4A56"/>
    <w:rsid w:val="005C7ED5"/>
    <w:rsid w:val="005E04D6"/>
    <w:rsid w:val="005E08B4"/>
    <w:rsid w:val="005F6209"/>
    <w:rsid w:val="00601E00"/>
    <w:rsid w:val="00604F4F"/>
    <w:rsid w:val="00617C77"/>
    <w:rsid w:val="00622689"/>
    <w:rsid w:val="00622C37"/>
    <w:rsid w:val="0064069F"/>
    <w:rsid w:val="006410AD"/>
    <w:rsid w:val="00657FD0"/>
    <w:rsid w:val="006609D2"/>
    <w:rsid w:val="00684DA6"/>
    <w:rsid w:val="006C3EBE"/>
    <w:rsid w:val="006E0389"/>
    <w:rsid w:val="006F3D0C"/>
    <w:rsid w:val="0072131A"/>
    <w:rsid w:val="007242C8"/>
    <w:rsid w:val="007537FC"/>
    <w:rsid w:val="007945C9"/>
    <w:rsid w:val="007D162A"/>
    <w:rsid w:val="007E5C4A"/>
    <w:rsid w:val="007E7BB8"/>
    <w:rsid w:val="00803B96"/>
    <w:rsid w:val="00812838"/>
    <w:rsid w:val="00816BFF"/>
    <w:rsid w:val="00831FE8"/>
    <w:rsid w:val="00836D57"/>
    <w:rsid w:val="00871571"/>
    <w:rsid w:val="00871D8C"/>
    <w:rsid w:val="00872265"/>
    <w:rsid w:val="00874429"/>
    <w:rsid w:val="008874E7"/>
    <w:rsid w:val="008C1995"/>
    <w:rsid w:val="008E3EB8"/>
    <w:rsid w:val="008E62F9"/>
    <w:rsid w:val="00907C74"/>
    <w:rsid w:val="00943BFD"/>
    <w:rsid w:val="009C360C"/>
    <w:rsid w:val="009F34EF"/>
    <w:rsid w:val="00A0106B"/>
    <w:rsid w:val="00A07DD4"/>
    <w:rsid w:val="00A37767"/>
    <w:rsid w:val="00A60BDB"/>
    <w:rsid w:val="00A65B5A"/>
    <w:rsid w:val="00A67335"/>
    <w:rsid w:val="00A80B6C"/>
    <w:rsid w:val="00A82E15"/>
    <w:rsid w:val="00A85C58"/>
    <w:rsid w:val="00AA06FB"/>
    <w:rsid w:val="00AB1A47"/>
    <w:rsid w:val="00AB3B55"/>
    <w:rsid w:val="00AD5635"/>
    <w:rsid w:val="00AF78B6"/>
    <w:rsid w:val="00B136C1"/>
    <w:rsid w:val="00B141A2"/>
    <w:rsid w:val="00B155C1"/>
    <w:rsid w:val="00B1661B"/>
    <w:rsid w:val="00B256F5"/>
    <w:rsid w:val="00B3333A"/>
    <w:rsid w:val="00B4195C"/>
    <w:rsid w:val="00B43560"/>
    <w:rsid w:val="00B514D6"/>
    <w:rsid w:val="00BC24D2"/>
    <w:rsid w:val="00BC6220"/>
    <w:rsid w:val="00BD254F"/>
    <w:rsid w:val="00BE0F02"/>
    <w:rsid w:val="00BE61A2"/>
    <w:rsid w:val="00BF75B2"/>
    <w:rsid w:val="00C03815"/>
    <w:rsid w:val="00C07F30"/>
    <w:rsid w:val="00C22BC4"/>
    <w:rsid w:val="00C36EFB"/>
    <w:rsid w:val="00C406A4"/>
    <w:rsid w:val="00C54816"/>
    <w:rsid w:val="00C57974"/>
    <w:rsid w:val="00C77054"/>
    <w:rsid w:val="00C8280D"/>
    <w:rsid w:val="00CA5D55"/>
    <w:rsid w:val="00CA7A8D"/>
    <w:rsid w:val="00CB17FF"/>
    <w:rsid w:val="00CE6D0F"/>
    <w:rsid w:val="00D3619D"/>
    <w:rsid w:val="00D4215E"/>
    <w:rsid w:val="00D57905"/>
    <w:rsid w:val="00D653BA"/>
    <w:rsid w:val="00D7261B"/>
    <w:rsid w:val="00D7696B"/>
    <w:rsid w:val="00D84E78"/>
    <w:rsid w:val="00DB1A73"/>
    <w:rsid w:val="00DB2847"/>
    <w:rsid w:val="00DB453A"/>
    <w:rsid w:val="00DF3808"/>
    <w:rsid w:val="00E0373E"/>
    <w:rsid w:val="00E17534"/>
    <w:rsid w:val="00E75645"/>
    <w:rsid w:val="00E762FB"/>
    <w:rsid w:val="00E83E45"/>
    <w:rsid w:val="00EA290A"/>
    <w:rsid w:val="00EA3733"/>
    <w:rsid w:val="00EC6770"/>
    <w:rsid w:val="00EF0843"/>
    <w:rsid w:val="00EF5C48"/>
    <w:rsid w:val="00F0265F"/>
    <w:rsid w:val="00F27AEF"/>
    <w:rsid w:val="00F524B8"/>
    <w:rsid w:val="00F7450C"/>
    <w:rsid w:val="00F757FE"/>
    <w:rsid w:val="00F80687"/>
    <w:rsid w:val="00FA60ED"/>
    <w:rsid w:val="00FB72DC"/>
    <w:rsid w:val="00FC5BA2"/>
    <w:rsid w:val="00FD13A2"/>
    <w:rsid w:val="00FD5916"/>
    <w:rsid w:val="00FD7A19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51A5"/>
  <w15:chartTrackingRefBased/>
  <w15:docId w15:val="{619AB968-5C61-40E8-B288-01C5FB00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19"/>
    <w:pPr>
      <w:ind w:left="720"/>
      <w:contextualSpacing/>
    </w:pPr>
  </w:style>
  <w:style w:type="table" w:styleId="a4">
    <w:name w:val="Table Grid"/>
    <w:basedOn w:val="a1"/>
    <w:uiPriority w:val="59"/>
    <w:rsid w:val="002201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201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01C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01CF"/>
    <w:rPr>
      <w:vertAlign w:val="superscript"/>
    </w:rPr>
  </w:style>
  <w:style w:type="paragraph" w:customStyle="1" w:styleId="Default">
    <w:name w:val="Default"/>
    <w:rsid w:val="002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C29F8"/>
  </w:style>
  <w:style w:type="character" w:styleId="a8">
    <w:name w:val="Strong"/>
    <w:basedOn w:val="a0"/>
    <w:uiPriority w:val="22"/>
    <w:qFormat/>
    <w:rsid w:val="009F34EF"/>
    <w:rPr>
      <w:b/>
      <w:bCs/>
    </w:rPr>
  </w:style>
  <w:style w:type="character" w:styleId="a9">
    <w:name w:val="Hyperlink"/>
    <w:basedOn w:val="a0"/>
    <w:uiPriority w:val="99"/>
    <w:unhideWhenUsed/>
    <w:rsid w:val="00E17534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175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7E56-0642-4D29-92B6-FF55A227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Снеговой</dc:creator>
  <cp:keywords/>
  <dc:description/>
  <cp:lastModifiedBy>User</cp:lastModifiedBy>
  <cp:revision>4</cp:revision>
  <dcterms:created xsi:type="dcterms:W3CDTF">2017-05-10T07:19:00Z</dcterms:created>
  <dcterms:modified xsi:type="dcterms:W3CDTF">2018-07-01T18:56:00Z</dcterms:modified>
</cp:coreProperties>
</file>